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2" w:rsidRDefault="00742B22" w:rsidP="00742B22">
      <w:pPr>
        <w:jc w:val="center"/>
        <w:rPr>
          <w:rFonts w:ascii="Times New Roman" w:hAnsi="Times New Roman"/>
          <w:b/>
          <w:sz w:val="28"/>
          <w:szCs w:val="28"/>
        </w:rPr>
      </w:pPr>
      <w:r w:rsidRPr="00742B22">
        <w:rPr>
          <w:rFonts w:ascii="Times New Roman" w:hAnsi="Times New Roman"/>
          <w:b/>
          <w:sz w:val="28"/>
          <w:szCs w:val="28"/>
        </w:rPr>
        <w:t>Темы контрольных работ по</w:t>
      </w:r>
      <w:r>
        <w:rPr>
          <w:rFonts w:ascii="Times New Roman" w:hAnsi="Times New Roman"/>
          <w:b/>
          <w:sz w:val="28"/>
          <w:szCs w:val="28"/>
        </w:rPr>
        <w:t xml:space="preserve"> дисциплине</w:t>
      </w:r>
    </w:p>
    <w:p w:rsidR="00742B22" w:rsidRPr="00742B22" w:rsidRDefault="00742B22" w:rsidP="00742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Pr="00742B22">
        <w:rPr>
          <w:rFonts w:ascii="Times New Roman" w:hAnsi="Times New Roman"/>
          <w:b/>
          <w:sz w:val="28"/>
          <w:szCs w:val="28"/>
        </w:rPr>
        <w:t>ухгалтерский учет внешнеэкономической деятельности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Внешнеэкономические операции и их роль в экономике.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Внешнеэкономические контракты с точки зрения валютного регулирования.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Внешнеэкономическая деятельность в условиях валютной либерализации.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Кредиты и займы в иностранной валюте.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расчетов с подотчетными лицами по зарубежным командировкам.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Валютные операции физических лиц-резидентов.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операций по покупке иностранной валюты.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кассовых операций в иностранной валюте.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и налогообложение экспорта работ (услуг).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и налогообложение импорта работ (услуг).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Использование в аудите внешнеэкономических операций результатов банковского валютного контроля.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Информационная база аудита внешнеэкономических операций.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Внешнеэкономический контракт как объект аудита.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и налогообложение зарубежных представительств.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внешнеторговых товарообменных (бартерных) сделок.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Бухгалтерский и налоговый учет таможенных платежей при ввозе товаров.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Бухгалтерский и налоговый учет импортных основных средств.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импортных операций с участием посредника.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 экспортных операций с участием посредника.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Анализ влияния изменения курса рубля к иностранной валюте на финансовые результаты организации, ведущей внешнеэкономическую деятельность.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Курсовые и суммовые разницы в бухгалтерском и налоговом учетах.</w:t>
      </w:r>
    </w:p>
    <w:p w:rsidR="00742B22" w:rsidRPr="00742B22" w:rsidRDefault="00742B22" w:rsidP="00742B22">
      <w:pPr>
        <w:pStyle w:val="a"/>
        <w:numPr>
          <w:ilvl w:val="0"/>
          <w:numId w:val="2"/>
        </w:numPr>
        <w:rPr>
          <w:sz w:val="28"/>
          <w:szCs w:val="28"/>
        </w:rPr>
      </w:pPr>
      <w:r w:rsidRPr="00742B22">
        <w:rPr>
          <w:sz w:val="28"/>
          <w:szCs w:val="28"/>
        </w:rPr>
        <w:t>Учет, анализ и аудит ценных бумаг в иностранной валюте.</w:t>
      </w:r>
    </w:p>
    <w:p w:rsidR="00DC594E" w:rsidRPr="00742B22" w:rsidRDefault="00DC594E">
      <w:pPr>
        <w:rPr>
          <w:rFonts w:ascii="Times New Roman" w:hAnsi="Times New Roman"/>
          <w:sz w:val="28"/>
          <w:szCs w:val="28"/>
          <w:lang/>
        </w:rPr>
      </w:pPr>
    </w:p>
    <w:sectPr w:rsidR="00DC594E" w:rsidRPr="00742B22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742B22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42B22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014AB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742B2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742B22"/>
    <w:rPr>
      <w:rFonts w:ascii="Times New Roman" w:eastAsia="Times New Roman" w:hAnsi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74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2017-02-09T09:51:00Z</dcterms:created>
  <dcterms:modified xsi:type="dcterms:W3CDTF">2017-02-09T09:56:00Z</dcterms:modified>
</cp:coreProperties>
</file>